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FEC" w:rsidRDefault="00193261">
      <w:pPr>
        <w:tabs>
          <w:tab w:val="center" w:pos="4536"/>
          <w:tab w:val="right" w:pos="9072"/>
        </w:tabs>
        <w:spacing w:after="0" w:line="240" w:lineRule="auto"/>
        <w:jc w:val="center"/>
        <w:rPr>
          <w:color w:val="76923C"/>
        </w:rPr>
      </w:pPr>
      <w:r>
        <w:rPr>
          <w:noProof/>
          <w:color w:val="000000"/>
          <w:lang w:eastAsia="bs-Latn-BA"/>
        </w:rPr>
        <w:drawing>
          <wp:inline distT="0" distB="0" distL="0" distR="0">
            <wp:extent cx="3919855" cy="501015"/>
            <wp:effectExtent l="0" t="0" r="0" b="0"/>
            <wp:docPr id="6" name="image1.jpg" descr="MemoUNT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g" descr="MemoUNTZ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FEC" w:rsidRDefault="00045FEC">
      <w:pPr>
        <w:spacing w:after="0" w:line="240" w:lineRule="auto"/>
        <w:rPr>
          <w:rFonts w:ascii="Arial" w:eastAsia="Arial" w:hAnsi="Arial" w:cs="Arial"/>
          <w:b/>
          <w:color w:val="000000"/>
          <w:sz w:val="14"/>
          <w:szCs w:val="14"/>
        </w:rPr>
      </w:pPr>
    </w:p>
    <w:p w:rsidR="00045FEC" w:rsidRDefault="00193261">
      <w:pPr>
        <w:spacing w:after="0" w:line="24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SYLLABUS</w:t>
      </w:r>
    </w:p>
    <w:p w:rsidR="00045FEC" w:rsidRDefault="00045FEC">
      <w:pPr>
        <w:spacing w:after="0" w:line="240" w:lineRule="auto"/>
        <w:jc w:val="center"/>
        <w:rPr>
          <w:rFonts w:ascii="Book Antiqua" w:eastAsia="Book Antiqua" w:hAnsi="Book Antiqua" w:cs="Book Antiqua"/>
          <w:b/>
          <w:color w:val="000000"/>
          <w:sz w:val="20"/>
          <w:szCs w:val="20"/>
        </w:rPr>
      </w:pPr>
    </w:p>
    <w:p w:rsidR="00045FEC" w:rsidRDefault="00045FEC">
      <w:pPr>
        <w:spacing w:after="0" w:line="240" w:lineRule="auto"/>
        <w:ind w:right="140"/>
        <w:rPr>
          <w:rFonts w:ascii="Book Antiqua" w:eastAsia="Book Antiqua" w:hAnsi="Book Antiqua" w:cs="Book Antiqua"/>
          <w:b/>
          <w:color w:val="000000"/>
          <w:sz w:val="16"/>
          <w:szCs w:val="16"/>
        </w:rPr>
      </w:pPr>
    </w:p>
    <w:tbl>
      <w:tblPr>
        <w:tblStyle w:val="Style40"/>
        <w:tblW w:w="10314" w:type="dxa"/>
        <w:tblLayout w:type="fixed"/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770"/>
        <w:gridCol w:w="856"/>
      </w:tblGrid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BIOHEMIJA II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22"/>
          <w:wAfter w:w="6292" w:type="dxa"/>
          <w:trHeight w:val="329"/>
        </w:trPr>
        <w:tc>
          <w:tcPr>
            <w:tcW w:w="402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1799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p w:rsidR="00045FEC" w:rsidRDefault="00045FEC">
            <w:pPr>
              <w:widowControl w:val="0"/>
              <w:spacing w:after="0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tbl>
            <w:tblPr>
              <w:tblStyle w:val="Style41"/>
              <w:tblW w:w="1247" w:type="dxa"/>
              <w:tblInd w:w="1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7"/>
            </w:tblGrid>
            <w:tr w:rsidR="00045FEC">
              <w:trPr>
                <w:trHeight w:val="329"/>
              </w:trPr>
              <w:tc>
                <w:tcPr>
                  <w:tcW w:w="1247" w:type="dxa"/>
                  <w:vAlign w:val="center"/>
                </w:tcPr>
                <w:p w:rsidR="00045FEC" w:rsidRDefault="00193261">
                  <w:pPr>
                    <w:spacing w:after="0" w:line="240" w:lineRule="auto"/>
                    <w:jc w:val="center"/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</w:pPr>
                  <w:bookmarkStart w:id="0" w:name="bookmark=id.gjdgxs" w:colFirst="0" w:colLast="0"/>
                  <w:bookmarkEnd w:id="0"/>
                  <w:r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  <w:t xml:space="preserve">Obavezni </w:t>
                  </w:r>
                </w:p>
              </w:tc>
            </w:tr>
          </w:tbl>
          <w:p w:rsidR="00045FEC" w:rsidRDefault="00045FEC">
            <w:pPr>
              <w:spacing w:after="0" w:line="240" w:lineRule="auto"/>
              <w:ind w:left="322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2"/>
          <w:wAfter w:w="8515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92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8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1"/>
          <w:wAfter w:w="856" w:type="dxa"/>
          <w:trHeight w:val="454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1858" w:type="dxa"/>
            <w:gridSpan w:val="6"/>
            <w:tcBorders>
              <w:lef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4"/>
            <w:tcBorders>
              <w:left w:val="nil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Opterećenje:</w:t>
            </w:r>
          </w:p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(u satima)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spacing w:after="0" w:line="240" w:lineRule="auto"/>
              <w:ind w:left="284"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Nastava: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1" w:name="bookmark=id.30j0zll" w:colFirst="0" w:colLast="0"/>
            <w:bookmarkEnd w:id="1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26" w:type="dxa"/>
            <w:gridSpan w:val="2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Individualni rad: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2" w:name="bookmark=id.1fob9te" w:colFirst="0" w:colLast="0"/>
            <w:bookmarkEnd w:id="2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109  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154  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  Prirodno-matematički fakultet   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Hemija/Edukacija u hemiji/Primijenjena hemija</w:t>
            </w:r>
          </w:p>
        </w:tc>
      </w:tr>
      <w:tr w:rsidR="00045FEC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dr.sc. Adaleta Softić, redovni profesor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Cilj nastave iz Biohemije II je da studenti steknu osnovna znanja o  metabolizmu i osnovnim principima tranformacije energije u biološkim sistemima. Izučavanje metabolizma karbohidrata. Izučavanje metabolizma lipida. Izučavanje metabolizma aminokiselina i proteina. Upoznavanje sa osnovnim principima regulacije metaboličkih puteva. Razumijevanje faktora koji utiču na dinamiku ćelijskog metabolizma i principa regulacije i kontrole metabolizma.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Cilj praktične nastave je da studenti ovladaju biohemijskim tehnikama  i da ih prema potrebi i apliciraju.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Student treba da usvoji znanja o metabolizmu, nastajanju i skladištenju metaboličke energije, sintezi i razgradnji osnovnih ćelijskih biomolekula i osnovnim principima regulacije metabolizma. Ovaj kurs treba da uvede studenta u biohemijske principe koji će mu pomoći da razumije kompleksne životne procese kao i značaj biohemijskih mehanizama koji upravljaju organizmom.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Osnovni koncept i dizajn metabolizma. Katabolizam. Anabolizam. Principi bioenergetike; ATP. Asimilacija energije u živim sistemima-fotosinteza. Metabolizam karbohidrata: glikoliza, glukoneogeneza, metabolizam glikogena, put pentoza fosfata, fermentacije. Citratni ciklus. Oksidativna fosforilacija. Metabolizam lipida: varenje i apsorpcija lipida. Lipoproteini. Oksidacija masnih kiselina. Nastajanje ketonskih tijela. Biosinteza masnih kiselina. Elongacija i desaturacija masnih kiselina. Esencijalne masne kiseline. Biosinteza triacilglicerola. Biosinteza holesterola. Metabolizam aminokiselina: transaminacija, oksidativna deaminacija L-glutamata, sinteza uree. Glavni putevi metaboliziranja ugljikovih skeleta aminokiselina. Metabolizam purinskih i pirimidinskih baza. Regulacija metaboličkih puteva: principi hormonske regulacije, alosterička kontrola. 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Nastava se izvodi u obliku predavanja, praktičnih vježbi i konsultacija. Studenti su obavezni prisustvovati predavanjima i vježbama. Aktivno sudjelovanje studenata na predavanju kroz diskusiju, na osnovu već stečenih  znanja. 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Eksperimentalne vježbe podrazumijevaju samostalni i grupni rad studenata. Aktivno sudjelovanje studenata u interpretaciji vježbi  i njihovih rezultata u skladu sa postavljenim ciljevima kursa. Nakon obavljene vježbe student predaje rezultate na provjeru i ovjeru asistentu.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Provjera znanja će se vršiti kroz predispitne obaveze i završni ispit. Predispitne obaveze sastoje se od dva parcijalna ispita, dva kolokvija, prisustva i aktivnosti na predavanjima i aktivnosti na vježbama. Prvi parcijalni ispit i prvi kolokvij realizuju se u 9. sedmici nastave i obuhvataju nastavno gradivo obrađeno na predavanjima, odnosno vježbama u prvih osam sedmica, a drugi parcijalni ispit i drugi kolokvij realizuju se u 15. sedmici nastave i obuhvataju gradivo obrađeno od 9. do 14. sedmice nastave na predavanjima odnosno vježbama. Završni ispit polaže se na redovnim ispitnim rokovima i obuhvata parcijalne ispite i kolokvije koje student nije položio u okviru predispitnih obaveza, odnosno nije ostvario predviđeni minimum bodova. Student koji položi parcijalne ispite i kolokvije sa ukupno 55 - 100 bodova u okviru predispitnih obaveza stiče pravo na upis ocjene na prvom redovnom ispitnom roku. </w:t>
            </w:r>
          </w:p>
          <w:p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Konačna ocjena predstavlja zbir ostvarenih bodova iz 2 parcijalna ispita, 2 kolokvija, prisustva i aktivnosti na predavanjima i aktivnosti na vježbama. </w:t>
            </w:r>
          </w:p>
          <w:p w:rsidR="00045FEC" w:rsidRDefault="00193261">
            <w:pPr>
              <w:pStyle w:val="NoSpacing"/>
              <w:spacing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Bodovna vrijednost provjera znanja (min - max):</w:t>
            </w:r>
          </w:p>
          <w:p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predavanjima      1 - 3   boda</w:t>
            </w:r>
          </w:p>
          <w:p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vježbama               0 - 7   bodova</w:t>
            </w:r>
          </w:p>
          <w:p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parcijalni ispit                  18 - 30  bodova</w:t>
            </w:r>
          </w:p>
          <w:p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parcijalni ispit               18-  30  bodova</w:t>
            </w:r>
          </w:p>
          <w:p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kolokvij                                  9- 15   bodova</w:t>
            </w:r>
          </w:p>
          <w:p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kolokvij                               9- 15   bodova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UKUPNO                                     55 - 100 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Konačan uspjeh studenta nakon svih predviđenih oblika znanja, vrednuje se i ocjenjue sistemom uporedivim sa ECTS skalom ocjenjivanja , kako slijedi: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Cambria" w:eastAsia="Cambria" w:hAnsi="Cambria" w:cs="Cambria"/>
                <w:b/>
                <w:sz w:val="18"/>
                <w:szCs w:val="18"/>
              </w:rPr>
              <w:t>Osvojen broj bodova     Ocjena  (BiH)    (ECTS ocjena)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&lt;55,00                                     5                        F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55,00-64,00                           6                        E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65,00-74,00                          7                        D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75,00-84,00                          8                        C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85,00-94,00                          9                        B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       95,00-100                             10                      A  </w:t>
            </w:r>
          </w:p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     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Lieberman, M, Marks, AD, Smith, C. Marksove osnove medicinske biohemije, Klinički pristup. SP PRINT Novi Sad; Beograd, 2008.</w:t>
            </w:r>
          </w:p>
          <w:p w:rsidR="00045FEC" w:rsidRDefault="0019326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Begić, Berbić, Mujagić, Mehikić. Praktikum iz biohemije sa teoretskim osnovama PrintCom,Tuzla 2004.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:rsidR="00045FEC" w:rsidRDefault="00045FE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045FEC" w:rsidRDefault="0019326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Nelson and Cox, Lehninger Principles of Biochemistry, 4th Edition 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876D35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2026/27</w:t>
            </w:r>
            <w:bookmarkStart w:id="3" w:name="_GoBack"/>
            <w:bookmarkEnd w:id="3"/>
            <w:r w:rsidR="0019326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</w:t>
            </w:r>
          </w:p>
        </w:tc>
      </w:tr>
      <w:tr w:rsidR="00045FEC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</w:tcMar>
          </w:tcPr>
          <w:p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</w:tr>
    </w:tbl>
    <w:p w:rsidR="00045FEC" w:rsidRDefault="00045FEC">
      <w:pPr>
        <w:spacing w:after="0" w:line="240" w:lineRule="auto"/>
        <w:rPr>
          <w:rFonts w:ascii="Book Antiqua" w:eastAsia="Book Antiqua" w:hAnsi="Book Antiqua" w:cs="Book Antiqua"/>
        </w:rPr>
      </w:pPr>
    </w:p>
    <w:sectPr w:rsidR="00045FE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630" w:rsidRDefault="00315630">
      <w:pPr>
        <w:spacing w:line="240" w:lineRule="auto"/>
      </w:pPr>
      <w:r>
        <w:separator/>
      </w:r>
    </w:p>
  </w:endnote>
  <w:endnote w:type="continuationSeparator" w:id="0">
    <w:p w:rsidR="00315630" w:rsidRDefault="003156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altName w:val="Segoe Print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EC" w:rsidRDefault="00045FEC">
    <w:pPr>
      <w:widowControl w:val="0"/>
      <w:spacing w:after="0"/>
      <w:rPr>
        <w:color w:val="000000"/>
      </w:rPr>
    </w:pPr>
  </w:p>
  <w:tbl>
    <w:tblPr>
      <w:tblStyle w:val="Style42"/>
      <w:tblW w:w="10262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045FEC">
      <w:trPr>
        <w:trHeight w:val="445"/>
      </w:trPr>
      <w:tc>
        <w:tcPr>
          <w:tcW w:w="1465" w:type="dxa"/>
          <w:tcMar>
            <w:top w:w="28" w:type="dxa"/>
          </w:tcMar>
        </w:tcPr>
        <w:p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10.5.2024</w:t>
          </w:r>
        </w:p>
      </w:tc>
      <w:tc>
        <w:tcPr>
          <w:tcW w:w="1159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317" w:type="dxa"/>
          <w:tcMar>
            <w:top w:w="28" w:type="dxa"/>
          </w:tcMar>
        </w:tcPr>
        <w:p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UNIVERZITET U TUZLI</w:t>
          </w:r>
        </w:p>
      </w:tc>
      <w:tc>
        <w:tcPr>
          <w:tcW w:w="1157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124" w:type="dxa"/>
          <w:tcMar>
            <w:top w:w="28" w:type="dxa"/>
          </w:tcMar>
        </w:tcPr>
        <w:p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SYLLABUS</w:t>
          </w:r>
        </w:p>
      </w:tc>
      <w:tc>
        <w:tcPr>
          <w:tcW w:w="1157" w:type="dxa"/>
          <w:tcMar>
            <w:top w:w="28" w:type="dxa"/>
          </w:tcMar>
        </w:tcPr>
        <w:p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883" w:type="dxa"/>
          <w:tcMar>
            <w:top w:w="28" w:type="dxa"/>
          </w:tcMar>
        </w:tcPr>
        <w:p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 xml:space="preserve">Str. 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PAGE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876D35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2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/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NUMPAGES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876D35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3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</w:p>
      </w:tc>
    </w:tr>
  </w:tbl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630" w:rsidRDefault="00315630">
      <w:pPr>
        <w:spacing w:after="0"/>
      </w:pPr>
      <w:r>
        <w:separator/>
      </w:r>
    </w:p>
  </w:footnote>
  <w:footnote w:type="continuationSeparator" w:id="0">
    <w:p w:rsidR="00315630" w:rsidRDefault="003156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16"/>
    <w:rsid w:val="00045FEC"/>
    <w:rsid w:val="00095ACB"/>
    <w:rsid w:val="00193261"/>
    <w:rsid w:val="00212837"/>
    <w:rsid w:val="00262DB6"/>
    <w:rsid w:val="002A2D8F"/>
    <w:rsid w:val="00315630"/>
    <w:rsid w:val="0037335D"/>
    <w:rsid w:val="00647BDB"/>
    <w:rsid w:val="00791D6C"/>
    <w:rsid w:val="00876D35"/>
    <w:rsid w:val="00944216"/>
    <w:rsid w:val="009C4A2B"/>
    <w:rsid w:val="00E1124B"/>
    <w:rsid w:val="00EB3CD9"/>
    <w:rsid w:val="00EC2EA7"/>
    <w:rsid w:val="00F63DCF"/>
    <w:rsid w:val="00FB55C5"/>
    <w:rsid w:val="2CA40F4E"/>
    <w:rsid w:val="33EB2E8C"/>
    <w:rsid w:val="41922DE1"/>
    <w:rsid w:val="48775B70"/>
    <w:rsid w:val="499B7DE5"/>
    <w:rsid w:val="684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CAA2B-0CDB-4980-8305-7D6BA92E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semiHidden="1" w:uiPriority="0" w:qFormat="1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semiHidden="1" w:unhideWhenUsed="1"/>
    <w:lsdException w:name="page number" w:locked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 w:qFormat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semiHidden="1" w:unhideWhenUsed="1"/>
    <w:lsdException w:name="Plain Text" w:locked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qFormat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qFormat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pPr>
      <w:spacing w:after="200" w:line="276" w:lineRule="auto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table" w:customStyle="1" w:styleId="Style40">
    <w:name w:val="_Style 40"/>
    <w:basedOn w:val="TableNormal"/>
    <w:qFormat/>
    <w:tblPr>
      <w:tblCellMar>
        <w:left w:w="115" w:type="dxa"/>
        <w:right w:w="85" w:type="dxa"/>
      </w:tblCellMar>
    </w:tblPr>
  </w:style>
  <w:style w:type="table" w:customStyle="1" w:styleId="Style41">
    <w:name w:val="_Style 41"/>
    <w:basedOn w:val="TableNormal"/>
    <w:qFormat/>
    <w:tblPr>
      <w:tblCellMar>
        <w:top w:w="57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AGiXOchwREU/gIiFOqNQxS1Ow==">CgMxLjAyCWlkLmdqZGd4czIKaWQuMzBqMHpsbDIKaWQuMWZvYjl0ZTIJaC4zem55c2g3OAByITFoWTNDb3VOSzNoUnlXMWRhMGJycV9JcHhVQ1o1ZmVvVw==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2024-08-28T18:55:00Z</cp:lastPrinted>
  <dcterms:created xsi:type="dcterms:W3CDTF">2026-03-10T08:34:00Z</dcterms:created>
  <dcterms:modified xsi:type="dcterms:W3CDTF">2026-03-11T12:12:00Z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7C2899466C7F498A9C897D9798C2C390_13</vt:lpwstr>
  </property>
</Properties>
</file>